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D191" w14:textId="425F0D51" w:rsidR="00AA3A35" w:rsidRDefault="00AA3A35" w:rsidP="00AA3A35">
      <w:pPr>
        <w:jc w:val="center"/>
        <w:rPr>
          <w:rFonts w:ascii="Times New Roman" w:hAnsi="Times New Roman" w:cs="Times New Roman"/>
          <w:sz w:val="24"/>
          <w:szCs w:val="24"/>
        </w:rPr>
      </w:pPr>
      <w:r w:rsidRPr="00AA3A35">
        <w:rPr>
          <w:rFonts w:ascii="Times New Roman" w:hAnsi="Times New Roman" w:cs="Times New Roman"/>
          <w:b/>
          <w:bCs/>
          <w:sz w:val="28"/>
          <w:szCs w:val="28"/>
        </w:rPr>
        <w:t>LONG-TERM CONSEQUENCES OF SPORTS RETIREMENT: PSYCHOLOGICAL, SOCIAL, AND PHYSICAL PERSPECTIVES</w:t>
      </w:r>
    </w:p>
    <w:p w14:paraId="72AD2D75" w14:textId="77777777" w:rsidR="00AA073D" w:rsidRDefault="00AA073D" w:rsidP="00AA07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Nagaraja Y</w:t>
      </w:r>
    </w:p>
    <w:p w14:paraId="78B5D02B" w14:textId="77777777" w:rsidR="00AA073D" w:rsidRPr="003D120B" w:rsidRDefault="00AA073D" w:rsidP="00AA073D">
      <w:pPr>
        <w:spacing w:after="0" w:line="240" w:lineRule="auto"/>
        <w:jc w:val="center"/>
        <w:rPr>
          <w:rFonts w:ascii="Times New Roman" w:hAnsi="Times New Roman" w:cs="Times New Roman"/>
          <w:sz w:val="24"/>
          <w:szCs w:val="24"/>
        </w:rPr>
      </w:pPr>
      <w:r w:rsidRPr="003D120B">
        <w:rPr>
          <w:rFonts w:ascii="Times New Roman" w:hAnsi="Times New Roman" w:cs="Times New Roman"/>
          <w:sz w:val="24"/>
          <w:szCs w:val="24"/>
        </w:rPr>
        <w:t>Assistant Professor</w:t>
      </w:r>
    </w:p>
    <w:p w14:paraId="72000CC3" w14:textId="77777777" w:rsidR="00AA073D" w:rsidRPr="003D120B" w:rsidRDefault="00AA073D" w:rsidP="00AA073D">
      <w:pPr>
        <w:spacing w:after="0" w:line="240" w:lineRule="auto"/>
        <w:jc w:val="center"/>
        <w:rPr>
          <w:rFonts w:ascii="Times New Roman" w:hAnsi="Times New Roman" w:cs="Times New Roman"/>
          <w:sz w:val="24"/>
          <w:szCs w:val="24"/>
        </w:rPr>
      </w:pPr>
      <w:r w:rsidRPr="003D120B">
        <w:rPr>
          <w:rFonts w:ascii="Times New Roman" w:hAnsi="Times New Roman" w:cs="Times New Roman"/>
          <w:sz w:val="24"/>
          <w:szCs w:val="24"/>
        </w:rPr>
        <w:t xml:space="preserve">Department of Physical Education and Sports, </w:t>
      </w:r>
    </w:p>
    <w:p w14:paraId="06F67A85" w14:textId="77777777" w:rsidR="00AA073D" w:rsidRPr="003D120B" w:rsidRDefault="00AA073D" w:rsidP="00AA073D">
      <w:pPr>
        <w:spacing w:after="0" w:line="240" w:lineRule="auto"/>
        <w:jc w:val="center"/>
        <w:rPr>
          <w:rFonts w:ascii="Times New Roman" w:hAnsi="Times New Roman" w:cs="Times New Roman"/>
          <w:sz w:val="24"/>
          <w:szCs w:val="24"/>
        </w:rPr>
      </w:pPr>
      <w:r w:rsidRPr="003D120B">
        <w:rPr>
          <w:rFonts w:ascii="Times New Roman" w:hAnsi="Times New Roman" w:cs="Times New Roman"/>
          <w:sz w:val="24"/>
          <w:szCs w:val="24"/>
        </w:rPr>
        <w:t xml:space="preserve">Central University of Tamil Nadu, </w:t>
      </w:r>
    </w:p>
    <w:p w14:paraId="50E5AC09" w14:textId="29928BEE" w:rsidR="00E3283D" w:rsidRDefault="00AA073D" w:rsidP="00E3283D">
      <w:pPr>
        <w:spacing w:after="0" w:line="360" w:lineRule="auto"/>
        <w:jc w:val="center"/>
        <w:rPr>
          <w:rFonts w:ascii="Times New Roman" w:hAnsi="Times New Roman" w:cs="Times New Roman"/>
          <w:sz w:val="24"/>
          <w:szCs w:val="24"/>
        </w:rPr>
      </w:pPr>
      <w:r w:rsidRPr="003D120B">
        <w:rPr>
          <w:rFonts w:ascii="Times New Roman" w:hAnsi="Times New Roman" w:cs="Times New Roman"/>
          <w:sz w:val="24"/>
          <w:szCs w:val="24"/>
        </w:rPr>
        <w:t>Neelakudi, Thiruvarur – 610 005, INDIA</w:t>
      </w:r>
    </w:p>
    <w:p w14:paraId="2B567ECA" w14:textId="77777777" w:rsidR="00AA3A35" w:rsidRDefault="00AA3A35" w:rsidP="00AA3A35">
      <w:pPr>
        <w:jc w:val="both"/>
        <w:rPr>
          <w:rFonts w:ascii="Times New Roman" w:hAnsi="Times New Roman" w:cs="Times New Roman"/>
          <w:sz w:val="24"/>
          <w:szCs w:val="24"/>
        </w:rPr>
      </w:pPr>
    </w:p>
    <w:p w14:paraId="160BC580" w14:textId="736957B4" w:rsidR="00AA3A35" w:rsidRPr="00AA3A35" w:rsidRDefault="00AA3A35" w:rsidP="005D55E2">
      <w:pPr>
        <w:rPr>
          <w:rFonts w:ascii="Times New Roman" w:hAnsi="Times New Roman" w:cs="Times New Roman"/>
          <w:b/>
          <w:bCs/>
          <w:sz w:val="24"/>
          <w:szCs w:val="24"/>
        </w:rPr>
      </w:pPr>
      <w:r w:rsidRPr="00AA3A35">
        <w:rPr>
          <w:rFonts w:ascii="Times New Roman" w:hAnsi="Times New Roman" w:cs="Times New Roman"/>
          <w:b/>
          <w:bCs/>
          <w:sz w:val="24"/>
          <w:szCs w:val="24"/>
        </w:rPr>
        <w:t>Abstract</w:t>
      </w:r>
    </w:p>
    <w:p w14:paraId="5CA473F3" w14:textId="77777777"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Sports retirement marks a critical life transition that influences athletes’ physical, psychological, and social well-being. While participation in sport contributes positively to identity formation, self-esteem, and physical health, the transition out of sport can trigger profound challenges. This thematic research paper evaluates the multidimensional impact of sports retirement through a synthesis of theoretical frameworks and empirical findings. It highlights how retirement affects mental health, social relationships, and physical functioning, while also identifying factors that facilitate successful adaptation. Recommendations for athlete transition programs and post-retirement support systems are proposed to ensure holistic well-being beyond athletic careers.</w:t>
      </w:r>
    </w:p>
    <w:p w14:paraId="3FEEC5BE" w14:textId="24E4A57B"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Keywords: Sports retirement, athlete transition, psychological well-being, social adaptation, physical health</w:t>
      </w:r>
    </w:p>
    <w:p w14:paraId="4624DD1E" w14:textId="77777777" w:rsidR="00AA3A35" w:rsidRPr="00AA3A35" w:rsidRDefault="00AA3A35" w:rsidP="00AA3A35">
      <w:pPr>
        <w:jc w:val="both"/>
        <w:rPr>
          <w:rFonts w:ascii="Times New Roman" w:hAnsi="Times New Roman" w:cs="Times New Roman"/>
          <w:b/>
          <w:bCs/>
          <w:sz w:val="24"/>
          <w:szCs w:val="24"/>
        </w:rPr>
      </w:pPr>
      <w:r w:rsidRPr="00AA3A35">
        <w:rPr>
          <w:rFonts w:ascii="Times New Roman" w:hAnsi="Times New Roman" w:cs="Times New Roman"/>
          <w:b/>
          <w:bCs/>
          <w:sz w:val="24"/>
          <w:szCs w:val="24"/>
        </w:rPr>
        <w:t>1. Introduction</w:t>
      </w:r>
    </w:p>
    <w:p w14:paraId="0F43B29A" w14:textId="77777777"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Retirement from sport represents a significant and often emotionally charged turning point in an athlete’s life. Unlike conventional retirement that occurs late in adulthood, sports retirement may occur prematurely—sometimes as early as an athlete’s twenties or thirties—due to injury, performance decline, deselection, or age-related factors (Alfermann &amp; Stambulova, 2007). This unique characteristic makes sports retirement a critical area of study in sports psychology, sociology, and public health.</w:t>
      </w:r>
    </w:p>
    <w:p w14:paraId="093D24AC" w14:textId="5853C5D4" w:rsidR="00AA3A35"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The process of retiring from sport involves not just a change in profession but also the transformation of identity, lifestyle, and social networks. The psychological, social, and physical consequences of this transition are interconnected, influencing overall life satisfaction and well-being.</w:t>
      </w:r>
    </w:p>
    <w:p w14:paraId="20D93C5F" w14:textId="6403E290" w:rsidR="00AB4CA2" w:rsidRPr="00BF40B9" w:rsidRDefault="00AB4CA2" w:rsidP="00AB4CA2">
      <w:pPr>
        <w:spacing w:line="360" w:lineRule="auto"/>
        <w:ind w:firstLine="720"/>
        <w:jc w:val="both"/>
        <w:rPr>
          <w:rFonts w:ascii="Times New Roman" w:hAnsi="Times New Roman" w:cs="Times New Roman"/>
          <w:sz w:val="24"/>
          <w:szCs w:val="24"/>
        </w:rPr>
      </w:pPr>
      <w:r w:rsidRPr="00D12CCC">
        <w:rPr>
          <w:rFonts w:ascii="Times New Roman" w:hAnsi="Times New Roman" w:cs="Times New Roman"/>
          <w:sz w:val="24"/>
          <w:szCs w:val="24"/>
        </w:rPr>
        <w:t xml:space="preserve">The structural organization of sport, along with the specific performance demands inherent in training and competition, offers a distinctive platform for individuals to engage in health-enhancing physical activity that varies in intensity, duration, and modality. Moreover, the social </w:t>
      </w:r>
      <w:r w:rsidRPr="00D12CCC">
        <w:rPr>
          <w:rFonts w:ascii="Times New Roman" w:hAnsi="Times New Roman" w:cs="Times New Roman"/>
          <w:sz w:val="24"/>
          <w:szCs w:val="24"/>
        </w:rPr>
        <w:lastRenderedPageBreak/>
        <w:t>context of sport—whether through team-based or club participation—facilitates opportunities for collective engagement and interpersonal interaction. Empirical evidence from previous studies indicates that involvement in both individual and team sports is positively associated with multiple health domains, including physical fitness, psychosocial well-being, psychological resilience, and cognitive functioning</w:t>
      </w:r>
      <w:r>
        <w:rPr>
          <w:rFonts w:ascii="Times New Roman" w:hAnsi="Times New Roman" w:cs="Times New Roman"/>
          <w:sz w:val="24"/>
          <w:szCs w:val="24"/>
        </w:rPr>
        <w:t xml:space="preserve"> (</w:t>
      </w:r>
      <w:r w:rsidRPr="00D12CCC">
        <w:rPr>
          <w:rFonts w:ascii="Times New Roman" w:hAnsi="Times New Roman" w:cs="Times New Roman"/>
          <w:sz w:val="24"/>
          <w:szCs w:val="24"/>
        </w:rPr>
        <w:t>Eime</w:t>
      </w:r>
      <w:r>
        <w:rPr>
          <w:rFonts w:ascii="Times New Roman" w:hAnsi="Times New Roman" w:cs="Times New Roman"/>
          <w:sz w:val="24"/>
          <w:szCs w:val="24"/>
        </w:rPr>
        <w:t xml:space="preserve"> et.al. 2013 &amp; </w:t>
      </w:r>
      <w:r w:rsidRPr="00D12CCC">
        <w:rPr>
          <w:rFonts w:ascii="Times New Roman" w:hAnsi="Times New Roman" w:cs="Times New Roman"/>
          <w:sz w:val="24"/>
          <w:szCs w:val="24"/>
        </w:rPr>
        <w:t>Malm</w:t>
      </w:r>
      <w:r>
        <w:rPr>
          <w:rFonts w:ascii="Times New Roman" w:hAnsi="Times New Roman" w:cs="Times New Roman"/>
          <w:sz w:val="24"/>
          <w:szCs w:val="24"/>
        </w:rPr>
        <w:t xml:space="preserve"> and </w:t>
      </w:r>
      <w:r w:rsidRPr="00D12CCC">
        <w:rPr>
          <w:rFonts w:ascii="Times New Roman" w:hAnsi="Times New Roman" w:cs="Times New Roman"/>
          <w:sz w:val="24"/>
          <w:szCs w:val="24"/>
        </w:rPr>
        <w:t>Jakobsson</w:t>
      </w:r>
      <w:r>
        <w:rPr>
          <w:rFonts w:ascii="Times New Roman" w:hAnsi="Times New Roman" w:cs="Times New Roman"/>
          <w:sz w:val="24"/>
          <w:szCs w:val="24"/>
        </w:rPr>
        <w:t xml:space="preserve"> 2019). </w:t>
      </w:r>
      <w:r w:rsidRPr="00D12CCC">
        <w:rPr>
          <w:rFonts w:ascii="Times New Roman" w:hAnsi="Times New Roman" w:cs="Times New Roman"/>
          <w:sz w:val="24"/>
          <w:szCs w:val="24"/>
        </w:rPr>
        <w:t xml:space="preserve">Evidence suggests that the social and mental health benefits derived from sport participation often surpass those associated with other forms of leisure-time or recreational activities </w:t>
      </w:r>
      <w:r>
        <w:rPr>
          <w:rFonts w:ascii="Times New Roman" w:hAnsi="Times New Roman" w:cs="Times New Roman"/>
          <w:sz w:val="24"/>
          <w:szCs w:val="24"/>
        </w:rPr>
        <w:t>(</w:t>
      </w:r>
      <w:r w:rsidRPr="00D12CCC">
        <w:rPr>
          <w:rFonts w:ascii="Times New Roman" w:hAnsi="Times New Roman" w:cs="Times New Roman"/>
          <w:sz w:val="24"/>
          <w:szCs w:val="24"/>
        </w:rPr>
        <w:t xml:space="preserve">Mills </w:t>
      </w:r>
      <w:r>
        <w:rPr>
          <w:rFonts w:ascii="Times New Roman" w:hAnsi="Times New Roman" w:cs="Times New Roman"/>
          <w:sz w:val="24"/>
          <w:szCs w:val="24"/>
        </w:rPr>
        <w:t xml:space="preserve">et.al 2019 &amp; </w:t>
      </w:r>
      <w:r w:rsidRPr="00D12CCC">
        <w:rPr>
          <w:rFonts w:ascii="Times New Roman" w:hAnsi="Times New Roman" w:cs="Times New Roman"/>
          <w:sz w:val="24"/>
          <w:szCs w:val="24"/>
        </w:rPr>
        <w:t>Vella</w:t>
      </w:r>
      <w:r>
        <w:rPr>
          <w:rFonts w:ascii="Times New Roman" w:hAnsi="Times New Roman" w:cs="Times New Roman"/>
          <w:sz w:val="24"/>
          <w:szCs w:val="24"/>
        </w:rPr>
        <w:t xml:space="preserve"> et.al 2017)</w:t>
      </w:r>
      <w:r w:rsidRPr="00D12CCC">
        <w:rPr>
          <w:rFonts w:ascii="Times New Roman" w:hAnsi="Times New Roman" w:cs="Times New Roman"/>
          <w:sz w:val="24"/>
          <w:szCs w:val="24"/>
        </w:rPr>
        <w:t xml:space="preserve">. Importantly, these positive outcomes have been documented across a wide range of sports and among diverse population groups, including youth, adults, older adults, and both genders </w:t>
      </w:r>
      <w:r>
        <w:rPr>
          <w:rFonts w:ascii="Times New Roman" w:hAnsi="Times New Roman" w:cs="Times New Roman"/>
          <w:sz w:val="24"/>
          <w:szCs w:val="24"/>
        </w:rPr>
        <w:t>(</w:t>
      </w:r>
      <w:r w:rsidRPr="00C22FAA">
        <w:rPr>
          <w:rFonts w:ascii="Times New Roman" w:hAnsi="Times New Roman" w:cs="Times New Roman"/>
          <w:sz w:val="24"/>
          <w:szCs w:val="24"/>
        </w:rPr>
        <w:t xml:space="preserve">Andersen </w:t>
      </w:r>
      <w:r>
        <w:rPr>
          <w:rFonts w:ascii="Times New Roman" w:hAnsi="Times New Roman" w:cs="Times New Roman"/>
          <w:sz w:val="24"/>
          <w:szCs w:val="24"/>
        </w:rPr>
        <w:t>et.al 2019)</w:t>
      </w:r>
      <w:r w:rsidRPr="00D12CCC">
        <w:rPr>
          <w:rFonts w:ascii="Times New Roman" w:hAnsi="Times New Roman" w:cs="Times New Roman"/>
          <w:sz w:val="24"/>
          <w:szCs w:val="24"/>
        </w:rPr>
        <w:t xml:space="preserve">. Nevertheless, research focusing on elite-level athletes remains limited. Existing studies indicate that elite athletes may face a heightened risk of mental health challenges, likely attributable to the substantial psychological and physiological demands imposed by high-performance sport </w:t>
      </w:r>
      <w:r>
        <w:rPr>
          <w:rFonts w:ascii="Times New Roman" w:hAnsi="Times New Roman" w:cs="Times New Roman"/>
          <w:sz w:val="24"/>
          <w:szCs w:val="24"/>
        </w:rPr>
        <w:t>(</w:t>
      </w:r>
      <w:r w:rsidRPr="00C22FAA">
        <w:rPr>
          <w:rFonts w:ascii="Times New Roman" w:hAnsi="Times New Roman" w:cs="Times New Roman"/>
          <w:sz w:val="24"/>
          <w:szCs w:val="24"/>
        </w:rPr>
        <w:t>Rice</w:t>
      </w:r>
      <w:r>
        <w:rPr>
          <w:rFonts w:ascii="Times New Roman" w:hAnsi="Times New Roman" w:cs="Times New Roman"/>
          <w:sz w:val="24"/>
          <w:szCs w:val="24"/>
        </w:rPr>
        <w:t xml:space="preserve"> et.al 2016).</w:t>
      </w:r>
    </w:p>
    <w:p w14:paraId="09B489EB" w14:textId="77777777" w:rsidR="00AA3A35" w:rsidRPr="00AA3A35" w:rsidRDefault="00AA3A35" w:rsidP="00AA3A35">
      <w:pPr>
        <w:jc w:val="both"/>
        <w:rPr>
          <w:rFonts w:ascii="Times New Roman" w:hAnsi="Times New Roman" w:cs="Times New Roman"/>
          <w:b/>
          <w:bCs/>
          <w:sz w:val="24"/>
          <w:szCs w:val="24"/>
        </w:rPr>
      </w:pPr>
      <w:r w:rsidRPr="00AA3A35">
        <w:rPr>
          <w:rFonts w:ascii="Times New Roman" w:hAnsi="Times New Roman" w:cs="Times New Roman"/>
          <w:b/>
          <w:bCs/>
          <w:sz w:val="24"/>
          <w:szCs w:val="24"/>
        </w:rPr>
        <w:t>2. Conceptual Framework</w:t>
      </w:r>
    </w:p>
    <w:p w14:paraId="37164AED" w14:textId="5B13ACF5"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The athletic career transition model (Taylor &amp; Ogilvie, 1994) provides a useful framework for understanding the retirement experience. It highlights how pre-retirement planning, identity strength, coping skills, and social support determine the quality of adaptation. Additionally, the biopsychosocial model explains that an athlete’s post-retirement health is shaped by interactions among biological, psychological, and social systems.</w:t>
      </w:r>
    </w:p>
    <w:p w14:paraId="368BEEA8" w14:textId="041794BE" w:rsidR="00AA3A35" w:rsidRDefault="00AA3A35" w:rsidP="00AA3A35">
      <w:pPr>
        <w:rPr>
          <w:rFonts w:ascii="Times New Roman" w:hAnsi="Times New Roman" w:cs="Times New Roman"/>
          <w:sz w:val="24"/>
          <w:szCs w:val="24"/>
        </w:rPr>
      </w:pPr>
      <w:r w:rsidRPr="00AA3A35">
        <w:rPr>
          <w:rFonts w:ascii="Times New Roman" w:hAnsi="Times New Roman" w:cs="Times New Roman"/>
          <w:b/>
          <w:bCs/>
          <w:sz w:val="24"/>
          <w:szCs w:val="24"/>
        </w:rPr>
        <w:t>3. Psychological Dimensions of Sports Retirement</w:t>
      </w:r>
    </w:p>
    <w:p w14:paraId="15AFA07B" w14:textId="1CDF1DEE"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3.1 Identity and Emotional Adjustment</w:t>
      </w:r>
    </w:p>
    <w:p w14:paraId="0DAC56D8" w14:textId="77777777"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Sport often forms the core of an athlete’s identity. When this identity fades, individuals may experience loss of purpose, low self-esteem, and depression. Studies have shown that athletes with strong “athletic identity foreclosure” are at higher risk of emotional distress post-retirement (Park et al., 2013).</w:t>
      </w:r>
    </w:p>
    <w:p w14:paraId="278C4CE0" w14:textId="77777777"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3.2 Mental Health Challenges</w:t>
      </w:r>
    </w:p>
    <w:p w14:paraId="38F18769" w14:textId="46522416" w:rsidR="00AA073D" w:rsidRDefault="00AA3A35" w:rsidP="00AA073D">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The sudden withdrawal from structured routines and competitive environments may lead to anxiety, loneliness, or adjustment disorders. Rice et al. (2016) observed that retired athletes often face a decline in psychological well-being when support systems are lacking. However, those with diversified interests and higher education adapt more successfully.</w:t>
      </w:r>
    </w:p>
    <w:p w14:paraId="304C065E" w14:textId="7C89438E"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lastRenderedPageBreak/>
        <w:t>3.3 Coping and Resilience</w:t>
      </w:r>
    </w:p>
    <w:p w14:paraId="75897323" w14:textId="22BDEC8F"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Positive coping strategies—such as career planning, mindfulness, and continued physical activity—enhance resilience. Supportive counselling and transition programs have been shown to reduce the mental strain associated with retirement (Lally, 2007).</w:t>
      </w:r>
    </w:p>
    <w:p w14:paraId="3512F908" w14:textId="77777777" w:rsidR="00AA3A35" w:rsidRPr="00AA3A35" w:rsidRDefault="00AA3A35" w:rsidP="00AA3A35">
      <w:pPr>
        <w:jc w:val="both"/>
        <w:rPr>
          <w:rFonts w:ascii="Times New Roman" w:hAnsi="Times New Roman" w:cs="Times New Roman"/>
          <w:b/>
          <w:bCs/>
          <w:sz w:val="24"/>
          <w:szCs w:val="24"/>
        </w:rPr>
      </w:pPr>
      <w:r w:rsidRPr="00AA3A35">
        <w:rPr>
          <w:rFonts w:ascii="Times New Roman" w:hAnsi="Times New Roman" w:cs="Times New Roman"/>
          <w:b/>
          <w:bCs/>
          <w:sz w:val="24"/>
          <w:szCs w:val="24"/>
        </w:rPr>
        <w:t>4. Social Dimensions of Sports Retirement</w:t>
      </w:r>
    </w:p>
    <w:p w14:paraId="33E8705D" w14:textId="77777777"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4.1 Loss of Team and Social Networks</w:t>
      </w:r>
    </w:p>
    <w:p w14:paraId="772B6C0F" w14:textId="77777777"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During their active years, athletes rely heavily on teammates, coaches, and sporting communities for social identity. Retirement often disrupts these networks, leading to isolation or social withdrawal (Lavallee, 2005).</w:t>
      </w:r>
    </w:p>
    <w:p w14:paraId="57DD7834" w14:textId="77777777"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4.2 Family and Community Reintegration</w:t>
      </w:r>
    </w:p>
    <w:p w14:paraId="62DDC9E3" w14:textId="23ABBB2D" w:rsidR="00AA3A35" w:rsidRDefault="00AA3A35" w:rsidP="00AA073D">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While some athletes benefit from stronger family engagement after retirement, others struggle to reintegrate into non-sport social environments. The extent of social reintegration often depends on how well the athlete balanced personal and professional relationships during their career.</w:t>
      </w:r>
    </w:p>
    <w:p w14:paraId="0AF9C6E6" w14:textId="39468EB7"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4.3 Socioeconomic Factors</w:t>
      </w:r>
    </w:p>
    <w:p w14:paraId="3BAC1044" w14:textId="1AFFA20C"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Financial instability following retirement can exacerbate stress. Athletes lacking financial literacy or career planning may experience hardship, while those who pursued education or alternate careers during their sports tenure report smoother transitions (Stambulova et al., 2009).</w:t>
      </w:r>
    </w:p>
    <w:p w14:paraId="52F8E448" w14:textId="77777777" w:rsidR="00AA3A35" w:rsidRPr="00AA3A35" w:rsidRDefault="00AA3A35" w:rsidP="00AA3A35">
      <w:pPr>
        <w:jc w:val="both"/>
        <w:rPr>
          <w:rFonts w:ascii="Times New Roman" w:hAnsi="Times New Roman" w:cs="Times New Roman"/>
          <w:b/>
          <w:bCs/>
          <w:sz w:val="24"/>
          <w:szCs w:val="24"/>
        </w:rPr>
      </w:pPr>
      <w:r w:rsidRPr="00AA3A35">
        <w:rPr>
          <w:rFonts w:ascii="Times New Roman" w:hAnsi="Times New Roman" w:cs="Times New Roman"/>
          <w:b/>
          <w:bCs/>
          <w:sz w:val="24"/>
          <w:szCs w:val="24"/>
        </w:rPr>
        <w:t>5. Physical Dimensions of Sports Retirement</w:t>
      </w:r>
    </w:p>
    <w:p w14:paraId="315A875B" w14:textId="77777777"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5.1 Decline in Physical Fitness</w:t>
      </w:r>
    </w:p>
    <w:p w14:paraId="62982D08" w14:textId="1DB13A6C" w:rsidR="00AA3A35"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Athletes accustomed to rigorous training may experience a decline in fitness and body composition after retirement, which can influence self-image and confidence (Torregrosa et al., 2004). Maintaining an active lifestyle post-retirement is critical for preserving health and vitality.</w:t>
      </w:r>
    </w:p>
    <w:p w14:paraId="3117D2AD" w14:textId="5BF8606D"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t>5.2 Injury and Chronic Pain</w:t>
      </w:r>
    </w:p>
    <w:p w14:paraId="79FA054B" w14:textId="77777777"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Many retired athletes live with long-term consequences of sports-related injuries. Chronic pain and reduced mobility can heighten stress and restrict participation in physical activity (Wylleman et al., 2015).</w:t>
      </w:r>
    </w:p>
    <w:p w14:paraId="1D4CB0E9" w14:textId="77777777" w:rsidR="00AA073D" w:rsidRDefault="00AA073D" w:rsidP="00AA3A35">
      <w:pPr>
        <w:jc w:val="both"/>
        <w:rPr>
          <w:rFonts w:ascii="Times New Roman" w:hAnsi="Times New Roman" w:cs="Times New Roman"/>
          <w:sz w:val="24"/>
          <w:szCs w:val="24"/>
        </w:rPr>
      </w:pPr>
    </w:p>
    <w:p w14:paraId="07AA1545" w14:textId="7C106DAE" w:rsidR="00AA3A35" w:rsidRPr="00BF40B9" w:rsidRDefault="00AA3A35" w:rsidP="00AA3A35">
      <w:pPr>
        <w:jc w:val="both"/>
        <w:rPr>
          <w:rFonts w:ascii="Times New Roman" w:hAnsi="Times New Roman" w:cs="Times New Roman"/>
          <w:sz w:val="24"/>
          <w:szCs w:val="24"/>
        </w:rPr>
      </w:pPr>
      <w:r w:rsidRPr="00BF40B9">
        <w:rPr>
          <w:rFonts w:ascii="Times New Roman" w:hAnsi="Times New Roman" w:cs="Times New Roman"/>
          <w:sz w:val="24"/>
          <w:szCs w:val="24"/>
        </w:rPr>
        <w:lastRenderedPageBreak/>
        <w:t>5.3 Health Behavior Transition</w:t>
      </w:r>
    </w:p>
    <w:p w14:paraId="20DF2FF6" w14:textId="5DD3BE9F"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The shift from a structured sports lifestyle to a sedentary one can increase risks of obesity, cardiovascular diseases, and metabolic disorders. Continued engagement in recreational sports or coaching roles helps sustain physical and psychological wellness.</w:t>
      </w:r>
    </w:p>
    <w:p w14:paraId="2D3FB215" w14:textId="77777777" w:rsidR="00AA3A35" w:rsidRPr="00AA3A35" w:rsidRDefault="00AA3A35" w:rsidP="00AA3A35">
      <w:pPr>
        <w:jc w:val="both"/>
        <w:rPr>
          <w:rFonts w:ascii="Times New Roman" w:hAnsi="Times New Roman" w:cs="Times New Roman"/>
          <w:b/>
          <w:bCs/>
          <w:sz w:val="24"/>
          <w:szCs w:val="24"/>
        </w:rPr>
      </w:pPr>
      <w:r w:rsidRPr="00AA3A35">
        <w:rPr>
          <w:rFonts w:ascii="Times New Roman" w:hAnsi="Times New Roman" w:cs="Times New Roman"/>
          <w:b/>
          <w:bCs/>
          <w:sz w:val="24"/>
          <w:szCs w:val="24"/>
        </w:rPr>
        <w:t>6. Factors Influencing Positive Adaptation</w:t>
      </w:r>
    </w:p>
    <w:p w14:paraId="7F9F8E91" w14:textId="77777777" w:rsidR="00AA3A35" w:rsidRPr="00AA3A35" w:rsidRDefault="00AA3A35" w:rsidP="00AA3A35">
      <w:pPr>
        <w:pStyle w:val="ListParagraph"/>
        <w:numPr>
          <w:ilvl w:val="0"/>
          <w:numId w:val="1"/>
        </w:numPr>
        <w:jc w:val="both"/>
        <w:rPr>
          <w:rFonts w:ascii="Times New Roman" w:hAnsi="Times New Roman" w:cs="Times New Roman"/>
          <w:sz w:val="24"/>
          <w:szCs w:val="24"/>
        </w:rPr>
      </w:pPr>
      <w:r w:rsidRPr="00AA3A35">
        <w:rPr>
          <w:rFonts w:ascii="Times New Roman" w:hAnsi="Times New Roman" w:cs="Times New Roman"/>
          <w:sz w:val="24"/>
          <w:szCs w:val="24"/>
        </w:rPr>
        <w:t>Pre-retirement Planning: Early preparation and career transition support mitigate post-retirement stress.</w:t>
      </w:r>
    </w:p>
    <w:p w14:paraId="272D40B2" w14:textId="77777777" w:rsidR="00AA3A35" w:rsidRPr="00AA3A35" w:rsidRDefault="00AA3A35" w:rsidP="00AA3A35">
      <w:pPr>
        <w:pStyle w:val="ListParagraph"/>
        <w:numPr>
          <w:ilvl w:val="0"/>
          <w:numId w:val="1"/>
        </w:numPr>
        <w:jc w:val="both"/>
        <w:rPr>
          <w:rFonts w:ascii="Times New Roman" w:hAnsi="Times New Roman" w:cs="Times New Roman"/>
          <w:sz w:val="24"/>
          <w:szCs w:val="24"/>
        </w:rPr>
      </w:pPr>
      <w:r w:rsidRPr="00AA3A35">
        <w:rPr>
          <w:rFonts w:ascii="Times New Roman" w:hAnsi="Times New Roman" w:cs="Times New Roman"/>
          <w:sz w:val="24"/>
          <w:szCs w:val="24"/>
        </w:rPr>
        <w:t>Social Support Systems: Family, peer groups, and mentors are crucial in sustaining emotional well-being.</w:t>
      </w:r>
    </w:p>
    <w:p w14:paraId="0E17B56C" w14:textId="77777777" w:rsidR="00AA3A35" w:rsidRPr="00AA3A35" w:rsidRDefault="00AA3A35" w:rsidP="00AA3A35">
      <w:pPr>
        <w:pStyle w:val="ListParagraph"/>
        <w:numPr>
          <w:ilvl w:val="0"/>
          <w:numId w:val="1"/>
        </w:numPr>
        <w:jc w:val="both"/>
        <w:rPr>
          <w:rFonts w:ascii="Times New Roman" w:hAnsi="Times New Roman" w:cs="Times New Roman"/>
          <w:sz w:val="24"/>
          <w:szCs w:val="24"/>
        </w:rPr>
      </w:pPr>
      <w:r w:rsidRPr="00AA3A35">
        <w:rPr>
          <w:rFonts w:ascii="Times New Roman" w:hAnsi="Times New Roman" w:cs="Times New Roman"/>
          <w:sz w:val="24"/>
          <w:szCs w:val="24"/>
        </w:rPr>
        <w:t>Educational Attainment: Higher education and career alternatives provide stability and confidence.</w:t>
      </w:r>
    </w:p>
    <w:p w14:paraId="3E97B206" w14:textId="77777777" w:rsidR="00AA3A35" w:rsidRPr="00AA3A35" w:rsidRDefault="00AA3A35" w:rsidP="00AA3A35">
      <w:pPr>
        <w:pStyle w:val="ListParagraph"/>
        <w:numPr>
          <w:ilvl w:val="0"/>
          <w:numId w:val="1"/>
        </w:numPr>
        <w:jc w:val="both"/>
        <w:rPr>
          <w:rFonts w:ascii="Times New Roman" w:hAnsi="Times New Roman" w:cs="Times New Roman"/>
          <w:sz w:val="24"/>
          <w:szCs w:val="24"/>
        </w:rPr>
      </w:pPr>
      <w:r w:rsidRPr="00AA3A35">
        <w:rPr>
          <w:rFonts w:ascii="Times New Roman" w:hAnsi="Times New Roman" w:cs="Times New Roman"/>
          <w:sz w:val="24"/>
          <w:szCs w:val="24"/>
        </w:rPr>
        <w:t>Personality Traits: Resilience, optimism, and adaptability are associated with better adjustment outcomes.</w:t>
      </w:r>
    </w:p>
    <w:p w14:paraId="681475E3" w14:textId="378BEDD2" w:rsidR="00AA3A35" w:rsidRPr="00AA3A35" w:rsidRDefault="00AA3A35" w:rsidP="00AA3A35">
      <w:pPr>
        <w:pStyle w:val="ListParagraph"/>
        <w:numPr>
          <w:ilvl w:val="0"/>
          <w:numId w:val="1"/>
        </w:numPr>
        <w:jc w:val="both"/>
        <w:rPr>
          <w:rFonts w:ascii="Times New Roman" w:hAnsi="Times New Roman" w:cs="Times New Roman"/>
          <w:sz w:val="24"/>
          <w:szCs w:val="24"/>
        </w:rPr>
      </w:pPr>
      <w:r w:rsidRPr="00AA3A35">
        <w:rPr>
          <w:rFonts w:ascii="Times New Roman" w:hAnsi="Times New Roman" w:cs="Times New Roman"/>
          <w:sz w:val="24"/>
          <w:szCs w:val="24"/>
        </w:rPr>
        <w:t>Cultural Context: In societies where sports are valued beyond competition, athletes experience smoother transitions.</w:t>
      </w:r>
    </w:p>
    <w:p w14:paraId="73FB74E1" w14:textId="77777777" w:rsidR="00AA3A35" w:rsidRPr="00AA3A35" w:rsidRDefault="00AA3A35" w:rsidP="00AA3A35">
      <w:pPr>
        <w:jc w:val="both"/>
        <w:rPr>
          <w:rFonts w:ascii="Times New Roman" w:hAnsi="Times New Roman" w:cs="Times New Roman"/>
          <w:b/>
          <w:bCs/>
          <w:sz w:val="24"/>
          <w:szCs w:val="24"/>
        </w:rPr>
      </w:pPr>
      <w:r w:rsidRPr="00AA3A35">
        <w:rPr>
          <w:rFonts w:ascii="Times New Roman" w:hAnsi="Times New Roman" w:cs="Times New Roman"/>
          <w:b/>
          <w:bCs/>
          <w:sz w:val="24"/>
          <w:szCs w:val="24"/>
        </w:rPr>
        <w:t>7. Implications and Recommendations</w:t>
      </w:r>
    </w:p>
    <w:p w14:paraId="10BFDFC4" w14:textId="77777777" w:rsidR="00AA3A35" w:rsidRPr="00BF40B9" w:rsidRDefault="00AA3A35" w:rsidP="00AA073D">
      <w:pPr>
        <w:spacing w:line="360" w:lineRule="auto"/>
        <w:ind w:left="720"/>
        <w:jc w:val="both"/>
        <w:rPr>
          <w:rFonts w:ascii="Times New Roman" w:hAnsi="Times New Roman" w:cs="Times New Roman"/>
          <w:sz w:val="24"/>
          <w:szCs w:val="24"/>
        </w:rPr>
      </w:pPr>
      <w:r w:rsidRPr="00AA3A35">
        <w:rPr>
          <w:rFonts w:ascii="Times New Roman" w:hAnsi="Times New Roman" w:cs="Times New Roman"/>
          <w:b/>
          <w:bCs/>
          <w:sz w:val="24"/>
          <w:szCs w:val="24"/>
        </w:rPr>
        <w:t>Institutional Support:</w:t>
      </w:r>
      <w:r w:rsidRPr="00BF40B9">
        <w:rPr>
          <w:rFonts w:ascii="Times New Roman" w:hAnsi="Times New Roman" w:cs="Times New Roman"/>
          <w:sz w:val="24"/>
          <w:szCs w:val="24"/>
        </w:rPr>
        <w:t xml:space="preserve"> Sports organizations should introduce structured transition programs focusing on career counselling, mental health, and financial literacy.</w:t>
      </w:r>
    </w:p>
    <w:p w14:paraId="2BF817C7" w14:textId="77777777" w:rsidR="00AA3A35" w:rsidRPr="00BF40B9" w:rsidRDefault="00AA3A35" w:rsidP="00AA073D">
      <w:pPr>
        <w:spacing w:line="360" w:lineRule="auto"/>
        <w:ind w:left="720"/>
        <w:jc w:val="both"/>
        <w:rPr>
          <w:rFonts w:ascii="Times New Roman" w:hAnsi="Times New Roman" w:cs="Times New Roman"/>
          <w:sz w:val="24"/>
          <w:szCs w:val="24"/>
        </w:rPr>
      </w:pPr>
      <w:r w:rsidRPr="00AA3A35">
        <w:rPr>
          <w:rFonts w:ascii="Times New Roman" w:hAnsi="Times New Roman" w:cs="Times New Roman"/>
          <w:b/>
          <w:bCs/>
          <w:sz w:val="24"/>
          <w:szCs w:val="24"/>
        </w:rPr>
        <w:t>Health Monitoring:</w:t>
      </w:r>
      <w:r w:rsidRPr="00BF40B9">
        <w:rPr>
          <w:rFonts w:ascii="Times New Roman" w:hAnsi="Times New Roman" w:cs="Times New Roman"/>
          <w:sz w:val="24"/>
          <w:szCs w:val="24"/>
        </w:rPr>
        <w:t xml:space="preserve"> Regular screening for physical and psychological health issues among retired athletes should be institutionalized.</w:t>
      </w:r>
    </w:p>
    <w:p w14:paraId="67B50242" w14:textId="77777777" w:rsidR="00AA3A35" w:rsidRPr="00BF40B9" w:rsidRDefault="00AA3A35" w:rsidP="00AA073D">
      <w:pPr>
        <w:spacing w:line="360" w:lineRule="auto"/>
        <w:ind w:left="720"/>
        <w:jc w:val="both"/>
        <w:rPr>
          <w:rFonts w:ascii="Times New Roman" w:hAnsi="Times New Roman" w:cs="Times New Roman"/>
          <w:sz w:val="24"/>
          <w:szCs w:val="24"/>
        </w:rPr>
      </w:pPr>
      <w:r w:rsidRPr="00AA3A35">
        <w:rPr>
          <w:rFonts w:ascii="Times New Roman" w:hAnsi="Times New Roman" w:cs="Times New Roman"/>
          <w:b/>
          <w:bCs/>
          <w:sz w:val="24"/>
          <w:szCs w:val="24"/>
        </w:rPr>
        <w:t>Community Engagement:</w:t>
      </w:r>
      <w:r w:rsidRPr="00BF40B9">
        <w:rPr>
          <w:rFonts w:ascii="Times New Roman" w:hAnsi="Times New Roman" w:cs="Times New Roman"/>
          <w:sz w:val="24"/>
          <w:szCs w:val="24"/>
        </w:rPr>
        <w:t xml:space="preserve"> Programs that promote coaching, mentoring, or recreational participation can maintain retired athletes’ sense of belonging.</w:t>
      </w:r>
    </w:p>
    <w:p w14:paraId="65B85DAD" w14:textId="4BC90730" w:rsidR="00AA3A35" w:rsidRPr="00BF40B9" w:rsidRDefault="00AA3A35" w:rsidP="00AA073D">
      <w:pPr>
        <w:spacing w:line="360" w:lineRule="auto"/>
        <w:ind w:left="720"/>
        <w:jc w:val="both"/>
        <w:rPr>
          <w:rFonts w:ascii="Times New Roman" w:hAnsi="Times New Roman" w:cs="Times New Roman"/>
          <w:sz w:val="24"/>
          <w:szCs w:val="24"/>
        </w:rPr>
      </w:pPr>
      <w:r w:rsidRPr="00AA3A35">
        <w:rPr>
          <w:rFonts w:ascii="Times New Roman" w:hAnsi="Times New Roman" w:cs="Times New Roman"/>
          <w:b/>
          <w:bCs/>
          <w:sz w:val="24"/>
          <w:szCs w:val="24"/>
        </w:rPr>
        <w:t>Policy Development:</w:t>
      </w:r>
      <w:r w:rsidRPr="00BF40B9">
        <w:rPr>
          <w:rFonts w:ascii="Times New Roman" w:hAnsi="Times New Roman" w:cs="Times New Roman"/>
          <w:sz w:val="24"/>
          <w:szCs w:val="24"/>
        </w:rPr>
        <w:t xml:space="preserve"> National sports federations should implement retirement policies emphasizing athlete welfare beyond active careers.</w:t>
      </w:r>
    </w:p>
    <w:p w14:paraId="6CEE9215" w14:textId="77777777" w:rsidR="00AA3A35" w:rsidRPr="00AA3A35" w:rsidRDefault="00AA3A35" w:rsidP="00AA3A35">
      <w:pPr>
        <w:jc w:val="both"/>
        <w:rPr>
          <w:rFonts w:ascii="Times New Roman" w:hAnsi="Times New Roman" w:cs="Times New Roman"/>
          <w:b/>
          <w:bCs/>
          <w:sz w:val="24"/>
          <w:szCs w:val="24"/>
        </w:rPr>
      </w:pPr>
      <w:r w:rsidRPr="00AA3A35">
        <w:rPr>
          <w:rFonts w:ascii="Times New Roman" w:hAnsi="Times New Roman" w:cs="Times New Roman"/>
          <w:b/>
          <w:bCs/>
          <w:sz w:val="24"/>
          <w:szCs w:val="24"/>
        </w:rPr>
        <w:t>8. Conclusion</w:t>
      </w:r>
    </w:p>
    <w:p w14:paraId="6A558AB6" w14:textId="13CFCCD0" w:rsidR="00AA3A35" w:rsidRPr="00BF40B9" w:rsidRDefault="00AA3A35" w:rsidP="00AA3A35">
      <w:pPr>
        <w:spacing w:line="360" w:lineRule="auto"/>
        <w:ind w:firstLine="720"/>
        <w:jc w:val="both"/>
        <w:rPr>
          <w:rFonts w:ascii="Times New Roman" w:hAnsi="Times New Roman" w:cs="Times New Roman"/>
          <w:sz w:val="24"/>
          <w:szCs w:val="24"/>
        </w:rPr>
      </w:pPr>
      <w:r w:rsidRPr="00BF40B9">
        <w:rPr>
          <w:rFonts w:ascii="Times New Roman" w:hAnsi="Times New Roman" w:cs="Times New Roman"/>
          <w:sz w:val="24"/>
          <w:szCs w:val="24"/>
        </w:rPr>
        <w:t xml:space="preserve">Sports retirement is not merely an endpoint but a transformation phase that affects athletes on multiple fronts. The psychological struggle with identity loss, the social disconnection from team networks, and physical health concerns collectively define the complexity of this transition. Understanding these interrelated dimensions can help stakeholders design evidence-based interventions that promote lifelong well-being for retired athletes. A holistic approach that </w:t>
      </w:r>
      <w:r w:rsidRPr="00BF40B9">
        <w:rPr>
          <w:rFonts w:ascii="Times New Roman" w:hAnsi="Times New Roman" w:cs="Times New Roman"/>
          <w:sz w:val="24"/>
          <w:szCs w:val="24"/>
        </w:rPr>
        <w:lastRenderedPageBreak/>
        <w:t>integrates mental health care, physical rehabilitation, and social reintegration can ensure that sports retirement becomes a positive and fulfilling stage of life rather than a period of crisis.</w:t>
      </w:r>
    </w:p>
    <w:p w14:paraId="6EB75044" w14:textId="0D902427" w:rsidR="00AA3A35" w:rsidRPr="00AA3A35" w:rsidRDefault="00AA3A35" w:rsidP="00AA3A35">
      <w:pPr>
        <w:jc w:val="both"/>
        <w:rPr>
          <w:rFonts w:ascii="Times New Roman" w:hAnsi="Times New Roman" w:cs="Times New Roman"/>
          <w:b/>
          <w:bCs/>
          <w:sz w:val="24"/>
          <w:szCs w:val="24"/>
        </w:rPr>
      </w:pPr>
      <w:r w:rsidRPr="00AA3A35">
        <w:rPr>
          <w:rFonts w:ascii="Times New Roman" w:hAnsi="Times New Roman" w:cs="Times New Roman"/>
          <w:b/>
          <w:bCs/>
          <w:sz w:val="24"/>
          <w:szCs w:val="24"/>
        </w:rPr>
        <w:t xml:space="preserve">References </w:t>
      </w:r>
    </w:p>
    <w:p w14:paraId="098F2CFA" w14:textId="77777777" w:rsidR="00AA3A35" w:rsidRPr="00BF40B9"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Alfermann, D., &amp; Stambulova, N. (2007). Career transitions and career termination. In G. Tenenbaum &amp; R. C. Eklund (Eds.), Handbook of sport psychology (3rd ed., pp. 712–733). Wiley.</w:t>
      </w:r>
    </w:p>
    <w:p w14:paraId="54BD386E" w14:textId="77777777" w:rsidR="00AA3A35" w:rsidRPr="00BF40B9"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Lally, P. (2007). Identity and athletic retirement: A prospective study. Psychology of Sport and Exercise, 8(1), 85–99.</w:t>
      </w:r>
    </w:p>
    <w:p w14:paraId="7A2AA3FB" w14:textId="77777777" w:rsidR="00AA3A35" w:rsidRPr="00BF40B9"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Lavallee, D. (2005). The effect of a life development intervention on sports career transition adjustment. The Sport Psychologist, 19(2), 193–202.</w:t>
      </w:r>
    </w:p>
    <w:p w14:paraId="50E1D416" w14:textId="77777777" w:rsidR="00AA3A35" w:rsidRPr="00BF40B9"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Park, S., Lavallee, D., &amp; Tod, D. (2013). Athletes’ career transition out of sport: A systematic review. International Review of Sport and Exercise Psychology, 6(1), 22–53.</w:t>
      </w:r>
    </w:p>
    <w:p w14:paraId="02922C3C" w14:textId="77777777" w:rsidR="00AA3A35" w:rsidRPr="00BF40B9"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Rice, S. M., Purcell, R., De Silva, S., Mawren, D., McGorry, P. D., &amp; Parker, A. G. (2016). The mental health of elite athletes: A narrative systematic review. Sports Medicine, 46(9), 1333–1353.</w:t>
      </w:r>
    </w:p>
    <w:p w14:paraId="3CB79DEA" w14:textId="77777777" w:rsidR="00AA3A35" w:rsidRPr="00BF40B9"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Stambulova, N., Alfermann, D., Statler, T., &amp; Côté, J. (2009). ISSP position stand: Career development and transitions of athletes. International Journal of Sport and Exercise Psychology, 7(4), 395–412.</w:t>
      </w:r>
    </w:p>
    <w:p w14:paraId="6B31E29D" w14:textId="77777777" w:rsidR="00AA3A35" w:rsidRPr="00BF40B9"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Taylor, J., &amp; Ogilvie, B. (1994). A conceptual model of adaptation to retirement among athletes. Journal of Applied Sport Psychology, 6(1), 1–20.</w:t>
      </w:r>
    </w:p>
    <w:p w14:paraId="73CF9240" w14:textId="77777777" w:rsidR="00AA3A35" w:rsidRPr="00BF40B9"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Torregrosa, M., Boixadós, M., Valiente, L., &amp; Cruz, J. (2004). Elite athletes’ image of retirement: The way to relocation in sport. Psychology of Sport and Exercise, 5(1), 35–43.</w:t>
      </w:r>
    </w:p>
    <w:p w14:paraId="79FF302E" w14:textId="0B1DF8FA" w:rsidR="0035347C" w:rsidRDefault="00AA3A35" w:rsidP="00AB4CA2">
      <w:pPr>
        <w:spacing w:after="0" w:line="240" w:lineRule="auto"/>
        <w:ind w:left="720" w:hanging="720"/>
        <w:jc w:val="both"/>
        <w:rPr>
          <w:rFonts w:ascii="Times New Roman" w:hAnsi="Times New Roman" w:cs="Times New Roman"/>
          <w:sz w:val="24"/>
          <w:szCs w:val="24"/>
        </w:rPr>
      </w:pPr>
      <w:r w:rsidRPr="00BF40B9">
        <w:rPr>
          <w:rFonts w:ascii="Times New Roman" w:hAnsi="Times New Roman" w:cs="Times New Roman"/>
          <w:sz w:val="24"/>
          <w:szCs w:val="24"/>
        </w:rPr>
        <w:t>Wylleman, P., Reints, A., &amp; De Knop, P. (2015). A developmental and holistic perspective on athletic career transitions. Psychology of Sport and Exercise, 21, 1–10.</w:t>
      </w:r>
    </w:p>
    <w:p w14:paraId="037D5334" w14:textId="77777777" w:rsidR="00AB4CA2" w:rsidRDefault="00AB4CA2" w:rsidP="00AB4CA2">
      <w:pPr>
        <w:spacing w:line="240" w:lineRule="auto"/>
        <w:ind w:left="720" w:hanging="720"/>
        <w:jc w:val="both"/>
        <w:rPr>
          <w:rFonts w:ascii="Times New Roman" w:hAnsi="Times New Roman" w:cs="Times New Roman"/>
          <w:sz w:val="24"/>
          <w:szCs w:val="24"/>
        </w:rPr>
      </w:pPr>
      <w:r w:rsidRPr="00D12CCC">
        <w:rPr>
          <w:rFonts w:ascii="Times New Roman" w:hAnsi="Times New Roman" w:cs="Times New Roman"/>
          <w:sz w:val="24"/>
          <w:szCs w:val="24"/>
        </w:rPr>
        <w:t>Eime RM, Young JA, Harvey JT, Charity MJ, Payne WR. A systematic review</w:t>
      </w:r>
      <w:r>
        <w:rPr>
          <w:rFonts w:ascii="Times New Roman" w:hAnsi="Times New Roman" w:cs="Times New Roman"/>
          <w:sz w:val="24"/>
          <w:szCs w:val="24"/>
        </w:rPr>
        <w:t xml:space="preserve"> </w:t>
      </w:r>
      <w:r w:rsidRPr="00D12CCC">
        <w:rPr>
          <w:rFonts w:ascii="Times New Roman" w:hAnsi="Times New Roman" w:cs="Times New Roman"/>
          <w:sz w:val="24"/>
          <w:szCs w:val="24"/>
        </w:rPr>
        <w:t>of the</w:t>
      </w:r>
      <w:r>
        <w:rPr>
          <w:rFonts w:ascii="Times New Roman" w:hAnsi="Times New Roman" w:cs="Times New Roman"/>
          <w:sz w:val="24"/>
          <w:szCs w:val="24"/>
        </w:rPr>
        <w:t xml:space="preserve"> </w:t>
      </w:r>
      <w:r w:rsidRPr="00D12CCC">
        <w:rPr>
          <w:rFonts w:ascii="Times New Roman" w:hAnsi="Times New Roman" w:cs="Times New Roman"/>
          <w:sz w:val="24"/>
          <w:szCs w:val="24"/>
        </w:rPr>
        <w:t>psychological and social benefits of participation in sport for</w:t>
      </w:r>
      <w:r>
        <w:rPr>
          <w:rFonts w:ascii="Times New Roman" w:hAnsi="Times New Roman" w:cs="Times New Roman"/>
          <w:sz w:val="24"/>
          <w:szCs w:val="24"/>
        </w:rPr>
        <w:t xml:space="preserve"> </w:t>
      </w:r>
      <w:r w:rsidRPr="00D12CCC">
        <w:rPr>
          <w:rFonts w:ascii="Times New Roman" w:hAnsi="Times New Roman" w:cs="Times New Roman"/>
          <w:sz w:val="24"/>
          <w:szCs w:val="24"/>
        </w:rPr>
        <w:t>adults: informing development of a conceptual model of health through</w:t>
      </w:r>
      <w:r>
        <w:rPr>
          <w:rFonts w:ascii="Times New Roman" w:hAnsi="Times New Roman" w:cs="Times New Roman"/>
          <w:sz w:val="24"/>
          <w:szCs w:val="24"/>
        </w:rPr>
        <w:t xml:space="preserve"> </w:t>
      </w:r>
      <w:r w:rsidRPr="00D12CCC">
        <w:rPr>
          <w:rFonts w:ascii="Times New Roman" w:hAnsi="Times New Roman" w:cs="Times New Roman"/>
          <w:sz w:val="24"/>
          <w:szCs w:val="24"/>
        </w:rPr>
        <w:t xml:space="preserve">sport. Int J Behav Nutr Phys Act. 2013;10:135. </w:t>
      </w:r>
    </w:p>
    <w:p w14:paraId="73331E25" w14:textId="04A9DC83" w:rsidR="00AB4CA2" w:rsidRDefault="00AB4CA2" w:rsidP="00AB4CA2">
      <w:pPr>
        <w:spacing w:after="0" w:line="240" w:lineRule="auto"/>
        <w:ind w:left="720" w:hanging="720"/>
        <w:jc w:val="both"/>
        <w:rPr>
          <w:rFonts w:ascii="Times New Roman" w:hAnsi="Times New Roman" w:cs="Times New Roman"/>
          <w:sz w:val="24"/>
          <w:szCs w:val="24"/>
        </w:rPr>
      </w:pPr>
      <w:r w:rsidRPr="00D12CCC">
        <w:rPr>
          <w:rFonts w:ascii="Times New Roman" w:hAnsi="Times New Roman" w:cs="Times New Roman"/>
          <w:sz w:val="24"/>
          <w:szCs w:val="24"/>
        </w:rPr>
        <w:t>Malm C, Jakobsson J, Isaksson A. Physical activity and sports-real health</w:t>
      </w:r>
      <w:r>
        <w:rPr>
          <w:rFonts w:ascii="Times New Roman" w:hAnsi="Times New Roman" w:cs="Times New Roman"/>
          <w:sz w:val="24"/>
          <w:szCs w:val="24"/>
        </w:rPr>
        <w:t xml:space="preserve"> </w:t>
      </w:r>
      <w:r w:rsidRPr="00D12CCC">
        <w:rPr>
          <w:rFonts w:ascii="Times New Roman" w:hAnsi="Times New Roman" w:cs="Times New Roman"/>
          <w:sz w:val="24"/>
          <w:szCs w:val="24"/>
        </w:rPr>
        <w:t>benefits: a review with insight into the public health of Sweden. Sports</w:t>
      </w:r>
      <w:r>
        <w:rPr>
          <w:rFonts w:ascii="Times New Roman" w:hAnsi="Times New Roman" w:cs="Times New Roman"/>
          <w:sz w:val="24"/>
          <w:szCs w:val="24"/>
        </w:rPr>
        <w:t xml:space="preserve"> </w:t>
      </w:r>
      <w:r w:rsidRPr="00D12CCC">
        <w:rPr>
          <w:rFonts w:ascii="Times New Roman" w:hAnsi="Times New Roman" w:cs="Times New Roman"/>
          <w:sz w:val="24"/>
          <w:szCs w:val="24"/>
        </w:rPr>
        <w:t>(Basel, Switzerland). 2019;7(5):127.</w:t>
      </w:r>
    </w:p>
    <w:p w14:paraId="0B187671" w14:textId="77777777" w:rsidR="00AB4CA2" w:rsidRDefault="00AB4CA2" w:rsidP="00AB4CA2">
      <w:pPr>
        <w:spacing w:after="0" w:line="240" w:lineRule="auto"/>
        <w:ind w:left="720" w:hanging="720"/>
        <w:jc w:val="both"/>
        <w:rPr>
          <w:rFonts w:ascii="Times New Roman" w:hAnsi="Times New Roman" w:cs="Times New Roman"/>
          <w:sz w:val="24"/>
          <w:szCs w:val="24"/>
        </w:rPr>
      </w:pPr>
      <w:r w:rsidRPr="00D12CCC">
        <w:rPr>
          <w:rFonts w:ascii="Times New Roman" w:hAnsi="Times New Roman" w:cs="Times New Roman"/>
          <w:sz w:val="24"/>
          <w:szCs w:val="24"/>
        </w:rPr>
        <w:t>Mills K, Dudley D, Collins NJ. Do the benefits of participation in sport and</w:t>
      </w:r>
      <w:r>
        <w:rPr>
          <w:rFonts w:ascii="Times New Roman" w:hAnsi="Times New Roman" w:cs="Times New Roman"/>
          <w:sz w:val="24"/>
          <w:szCs w:val="24"/>
        </w:rPr>
        <w:t xml:space="preserve"> </w:t>
      </w:r>
      <w:r w:rsidRPr="00D12CCC">
        <w:rPr>
          <w:rFonts w:ascii="Times New Roman" w:hAnsi="Times New Roman" w:cs="Times New Roman"/>
          <w:sz w:val="24"/>
          <w:szCs w:val="24"/>
        </w:rPr>
        <w:t>exercise outweigh the negatives? An academic review. Best Pract Res Clin</w:t>
      </w:r>
      <w:r>
        <w:rPr>
          <w:rFonts w:ascii="Times New Roman" w:hAnsi="Times New Roman" w:cs="Times New Roman"/>
          <w:sz w:val="24"/>
          <w:szCs w:val="24"/>
        </w:rPr>
        <w:t xml:space="preserve"> </w:t>
      </w:r>
      <w:r w:rsidRPr="00D12CCC">
        <w:rPr>
          <w:rFonts w:ascii="Times New Roman" w:hAnsi="Times New Roman" w:cs="Times New Roman"/>
          <w:sz w:val="24"/>
          <w:szCs w:val="24"/>
        </w:rPr>
        <w:t>Rheumatol. 2019;33(1):172–87.</w:t>
      </w:r>
    </w:p>
    <w:p w14:paraId="44849069" w14:textId="77777777" w:rsidR="00AB4CA2" w:rsidRDefault="00AB4CA2" w:rsidP="00AB4CA2">
      <w:pPr>
        <w:spacing w:after="0" w:line="240" w:lineRule="auto"/>
        <w:ind w:left="720" w:hanging="720"/>
        <w:jc w:val="both"/>
        <w:rPr>
          <w:rFonts w:ascii="Times New Roman" w:hAnsi="Times New Roman" w:cs="Times New Roman"/>
          <w:sz w:val="24"/>
          <w:szCs w:val="24"/>
        </w:rPr>
      </w:pPr>
      <w:r w:rsidRPr="00D12CCC">
        <w:rPr>
          <w:rFonts w:ascii="Times New Roman" w:hAnsi="Times New Roman" w:cs="Times New Roman"/>
          <w:sz w:val="24"/>
          <w:szCs w:val="24"/>
        </w:rPr>
        <w:t>Vella SA, Swann C, Allen MS, Schweickle MJ, Magee CA. Bidirectional associations</w:t>
      </w:r>
      <w:r>
        <w:rPr>
          <w:rFonts w:ascii="Times New Roman" w:hAnsi="Times New Roman" w:cs="Times New Roman"/>
          <w:sz w:val="24"/>
          <w:szCs w:val="24"/>
        </w:rPr>
        <w:t xml:space="preserve"> </w:t>
      </w:r>
      <w:r w:rsidRPr="00D12CCC">
        <w:rPr>
          <w:rFonts w:ascii="Times New Roman" w:hAnsi="Times New Roman" w:cs="Times New Roman"/>
          <w:sz w:val="24"/>
          <w:szCs w:val="24"/>
        </w:rPr>
        <w:t>between sport involvement and mental health in adolescence.</w:t>
      </w:r>
      <w:r>
        <w:rPr>
          <w:rFonts w:ascii="Times New Roman" w:hAnsi="Times New Roman" w:cs="Times New Roman"/>
          <w:sz w:val="24"/>
          <w:szCs w:val="24"/>
        </w:rPr>
        <w:t xml:space="preserve"> </w:t>
      </w:r>
      <w:r w:rsidRPr="00D12CCC">
        <w:rPr>
          <w:rFonts w:ascii="Times New Roman" w:hAnsi="Times New Roman" w:cs="Times New Roman"/>
          <w:sz w:val="24"/>
          <w:szCs w:val="24"/>
        </w:rPr>
        <w:t>Med Sci Sports Exerc. 2017;49(4):687–94.</w:t>
      </w:r>
    </w:p>
    <w:p w14:paraId="2CA4F14D" w14:textId="77777777" w:rsidR="00AB4CA2" w:rsidRDefault="00AB4CA2" w:rsidP="00AB4CA2">
      <w:pPr>
        <w:spacing w:after="0" w:line="240" w:lineRule="auto"/>
        <w:ind w:left="720" w:hanging="720"/>
        <w:jc w:val="both"/>
        <w:rPr>
          <w:rFonts w:ascii="Times New Roman" w:hAnsi="Times New Roman" w:cs="Times New Roman"/>
          <w:sz w:val="24"/>
          <w:szCs w:val="24"/>
        </w:rPr>
      </w:pPr>
      <w:r w:rsidRPr="00C22FAA">
        <w:rPr>
          <w:rFonts w:ascii="Times New Roman" w:hAnsi="Times New Roman" w:cs="Times New Roman"/>
          <w:sz w:val="24"/>
          <w:szCs w:val="24"/>
        </w:rPr>
        <w:t>Andersen MH, Ottesen L, Thing LF. The social and psychological health</w:t>
      </w:r>
      <w:r>
        <w:rPr>
          <w:rFonts w:ascii="Times New Roman" w:hAnsi="Times New Roman" w:cs="Times New Roman"/>
          <w:sz w:val="24"/>
          <w:szCs w:val="24"/>
        </w:rPr>
        <w:t xml:space="preserve"> </w:t>
      </w:r>
      <w:r w:rsidRPr="00C22FAA">
        <w:rPr>
          <w:rFonts w:ascii="Times New Roman" w:hAnsi="Times New Roman" w:cs="Times New Roman"/>
          <w:sz w:val="24"/>
          <w:szCs w:val="24"/>
        </w:rPr>
        <w:t>outcomes of team sport participation in adults: An integrative review of</w:t>
      </w:r>
      <w:r>
        <w:rPr>
          <w:rFonts w:ascii="Times New Roman" w:hAnsi="Times New Roman" w:cs="Times New Roman"/>
          <w:sz w:val="24"/>
          <w:szCs w:val="24"/>
        </w:rPr>
        <w:t xml:space="preserve"> </w:t>
      </w:r>
      <w:r w:rsidRPr="00C22FAA">
        <w:rPr>
          <w:rFonts w:ascii="Times New Roman" w:hAnsi="Times New Roman" w:cs="Times New Roman"/>
          <w:sz w:val="24"/>
          <w:szCs w:val="24"/>
        </w:rPr>
        <w:t>research. Scand J Public Health. 2019;47(8):832–50.</w:t>
      </w:r>
    </w:p>
    <w:p w14:paraId="17E5363C" w14:textId="4D9B9A13" w:rsidR="00AB4CA2" w:rsidRDefault="00AB4CA2" w:rsidP="00AB4CA2">
      <w:pPr>
        <w:spacing w:after="0" w:line="240" w:lineRule="auto"/>
        <w:ind w:left="720" w:hanging="720"/>
        <w:jc w:val="both"/>
      </w:pPr>
      <w:r w:rsidRPr="00C22FAA">
        <w:rPr>
          <w:rFonts w:ascii="Times New Roman" w:hAnsi="Times New Roman" w:cs="Times New Roman"/>
          <w:sz w:val="24"/>
          <w:szCs w:val="24"/>
        </w:rPr>
        <w:t>Rice SM, Purcell R, De Silva S, Mawren D, McGorry PD, Parker AG. The</w:t>
      </w:r>
      <w:r>
        <w:rPr>
          <w:rFonts w:ascii="Times New Roman" w:hAnsi="Times New Roman" w:cs="Times New Roman"/>
          <w:sz w:val="24"/>
          <w:szCs w:val="24"/>
        </w:rPr>
        <w:t xml:space="preserve"> </w:t>
      </w:r>
      <w:r w:rsidRPr="00C22FAA">
        <w:rPr>
          <w:rFonts w:ascii="Times New Roman" w:hAnsi="Times New Roman" w:cs="Times New Roman"/>
          <w:sz w:val="24"/>
          <w:szCs w:val="24"/>
        </w:rPr>
        <w:t>mental health of elite athletes: a narrative systematic review. Sports</w:t>
      </w:r>
      <w:r>
        <w:rPr>
          <w:rFonts w:ascii="Times New Roman" w:hAnsi="Times New Roman" w:cs="Times New Roman"/>
          <w:sz w:val="24"/>
          <w:szCs w:val="24"/>
        </w:rPr>
        <w:t xml:space="preserve"> </w:t>
      </w:r>
      <w:r w:rsidRPr="00C22FAA">
        <w:rPr>
          <w:rFonts w:ascii="Times New Roman" w:hAnsi="Times New Roman" w:cs="Times New Roman"/>
          <w:sz w:val="24"/>
          <w:szCs w:val="24"/>
        </w:rPr>
        <w:t>medicine (Auckland, NZ). 2016;46(9):1333–53.</w:t>
      </w:r>
    </w:p>
    <w:sectPr w:rsidR="00AB4C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4438" w14:textId="77777777" w:rsidR="001C3C02" w:rsidRDefault="001C3C02" w:rsidP="005D55E2">
      <w:pPr>
        <w:spacing w:after="0" w:line="240" w:lineRule="auto"/>
      </w:pPr>
      <w:r>
        <w:separator/>
      </w:r>
    </w:p>
  </w:endnote>
  <w:endnote w:type="continuationSeparator" w:id="0">
    <w:p w14:paraId="1BD2D441" w14:textId="77777777" w:rsidR="001C3C02" w:rsidRDefault="001C3C02" w:rsidP="005D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726657"/>
      <w:docPartObj>
        <w:docPartGallery w:val="Page Numbers (Bottom of Page)"/>
        <w:docPartUnique/>
      </w:docPartObj>
    </w:sdtPr>
    <w:sdtEndPr>
      <w:rPr>
        <w:noProof/>
      </w:rPr>
    </w:sdtEndPr>
    <w:sdtContent>
      <w:p w14:paraId="441764D4" w14:textId="6E3CCD6E" w:rsidR="005D55E2" w:rsidRDefault="005D55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B15A6" w14:textId="77777777" w:rsidR="005D55E2" w:rsidRDefault="005D5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3378" w14:textId="77777777" w:rsidR="001C3C02" w:rsidRDefault="001C3C02" w:rsidP="005D55E2">
      <w:pPr>
        <w:spacing w:after="0" w:line="240" w:lineRule="auto"/>
      </w:pPr>
      <w:r>
        <w:separator/>
      </w:r>
    </w:p>
  </w:footnote>
  <w:footnote w:type="continuationSeparator" w:id="0">
    <w:p w14:paraId="3F20743A" w14:textId="77777777" w:rsidR="001C3C02" w:rsidRDefault="001C3C02" w:rsidP="005D5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69A0"/>
    <w:multiLevelType w:val="hybridMultilevel"/>
    <w:tmpl w:val="FD403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0E"/>
    <w:rsid w:val="001C3C02"/>
    <w:rsid w:val="0035347C"/>
    <w:rsid w:val="005D55E2"/>
    <w:rsid w:val="00891424"/>
    <w:rsid w:val="00AA073D"/>
    <w:rsid w:val="00AA3A35"/>
    <w:rsid w:val="00AB4CA2"/>
    <w:rsid w:val="00E3283D"/>
    <w:rsid w:val="00E7620E"/>
    <w:rsid w:val="00F7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777F"/>
  <w15:chartTrackingRefBased/>
  <w15:docId w15:val="{8F400410-72CD-4C89-B041-F9F139D1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A35"/>
    <w:pPr>
      <w:ind w:left="720"/>
      <w:contextualSpacing/>
    </w:pPr>
  </w:style>
  <w:style w:type="paragraph" w:styleId="Header">
    <w:name w:val="header"/>
    <w:basedOn w:val="Normal"/>
    <w:link w:val="HeaderChar"/>
    <w:uiPriority w:val="99"/>
    <w:unhideWhenUsed/>
    <w:rsid w:val="005D5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E2"/>
  </w:style>
  <w:style w:type="paragraph" w:styleId="Footer">
    <w:name w:val="footer"/>
    <w:basedOn w:val="Normal"/>
    <w:link w:val="FooterChar"/>
    <w:uiPriority w:val="99"/>
    <w:unhideWhenUsed/>
    <w:rsid w:val="005D5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2025-10-08T11:24:00Z</dcterms:created>
  <dcterms:modified xsi:type="dcterms:W3CDTF">2025-10-08T12:28:00Z</dcterms:modified>
</cp:coreProperties>
</file>